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8C" w:rsidRPr="00986765" w:rsidRDefault="00DC718C" w:rsidP="00DC718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ЗАТВЕРДЖЕНО</w:t>
      </w: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Рішення п’ятдесят третьої сесії </w:t>
      </w:r>
    </w:p>
    <w:p w:rsidR="00DC718C" w:rsidRPr="00986765" w:rsidRDefault="00DC718C" w:rsidP="00DC718C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міської ради VII скликання                 </w:t>
      </w:r>
    </w:p>
    <w:p w:rsidR="00DC718C" w:rsidRPr="00986765" w:rsidRDefault="00DC718C" w:rsidP="00DC718C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="000B3C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04</w:t>
      </w:r>
      <w:r w:rsidRPr="0098676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грудня 2019 року №</w:t>
      </w:r>
      <w:r w:rsidR="000B3C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1009</w:t>
      </w:r>
    </w:p>
    <w:p w:rsidR="00DC718C" w:rsidRPr="00986765" w:rsidRDefault="00DC718C" w:rsidP="00DC718C">
      <w:pPr>
        <w:shd w:val="clear" w:color="auto" w:fill="FFFFFF"/>
        <w:tabs>
          <w:tab w:val="left" w:pos="5812"/>
        </w:tabs>
        <w:spacing w:after="0" w:line="240" w:lineRule="auto"/>
        <w:ind w:right="10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986765" w:rsidRDefault="00DC718C" w:rsidP="00DC718C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718C" w:rsidRPr="00986765" w:rsidRDefault="00DC718C" w:rsidP="00DC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ПРОГРАМА</w:t>
      </w:r>
    </w:p>
    <w:p w:rsidR="00DC718C" w:rsidRPr="00986765" w:rsidRDefault="00DC718C" w:rsidP="00DC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інформатизації </w:t>
      </w:r>
      <w:r w:rsidRPr="00986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Новгород-Сіверської міської об’єднаної територіальної громади</w:t>
      </w:r>
      <w:r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на 2020-2022 роки</w:t>
      </w: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B3C0C" w:rsidRDefault="000B3C0C" w:rsidP="007E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986765" w:rsidRDefault="00DC718C" w:rsidP="007E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67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м. Новгород-Сіверський</w:t>
      </w:r>
    </w:p>
    <w:p w:rsidR="00DC718C" w:rsidRPr="00986765" w:rsidRDefault="007E659F" w:rsidP="007E65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DC718C" w:rsidRPr="009867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2019 рік</w:t>
      </w:r>
    </w:p>
    <w:p w:rsidR="00DC718C" w:rsidRPr="00986765" w:rsidRDefault="00DC718C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lastRenderedPageBreak/>
        <w:t xml:space="preserve">І.ПАСПОРТ </w:t>
      </w:r>
    </w:p>
    <w:p w:rsidR="00DC718C" w:rsidRPr="00986765" w:rsidRDefault="00F36060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П</w:t>
      </w:r>
      <w:r w:rsidR="00DC718C"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рограми інформатизації </w:t>
      </w:r>
      <w:r w:rsidR="00DC718C" w:rsidRPr="00986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Новгород-Сіверської міської об’єднаної територіальної громади</w:t>
      </w:r>
      <w:r w:rsidR="00DC718C"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на 2020-2022 роки</w:t>
      </w: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19"/>
        <w:gridCol w:w="4961"/>
      </w:tblGrid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Новгород-Сіверська міська рада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Закони  України «Про Національну програму інформатизації», «Про доступ до публічної інформації, «Про електронні документи та електронний документообіг»,</w:t>
            </w: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місцеве самоврядування в Україні», </w:t>
            </w:r>
            <w:r w:rsidRPr="0098676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Бюджетний кодекс  України,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Новгород-Сіверська міська рада</w:t>
            </w:r>
          </w:p>
        </w:tc>
      </w:tr>
      <w:tr w:rsidR="00DC718C" w:rsidRPr="000B3C0C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 та відділи   Новгород-Сіверської міської ради</w:t>
            </w:r>
          </w:p>
        </w:tc>
      </w:tr>
      <w:tr w:rsidR="00DC718C" w:rsidRPr="000B3C0C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Новгород-Сіверська міська рада</w:t>
            </w:r>
          </w:p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 та відділи   Новгород-Сіверської міської ради</w:t>
            </w:r>
          </w:p>
        </w:tc>
      </w:tr>
      <w:tr w:rsidR="00DC718C" w:rsidRPr="000B3C0C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7" w:rsidRPr="00986765" w:rsidRDefault="004B68E7" w:rsidP="004B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Новгород-Сіверська міська рада</w:t>
            </w:r>
          </w:p>
          <w:p w:rsidR="00DC718C" w:rsidRPr="00986765" w:rsidRDefault="004B68E7" w:rsidP="004B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 та відділи   Новгород-Сіверської міської ради</w:t>
            </w:r>
          </w:p>
        </w:tc>
      </w:tr>
      <w:tr w:rsidR="00DC718C" w:rsidRPr="000B3C0C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Новгород-Сіверська міська рада</w:t>
            </w:r>
          </w:p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 та відділи   Новгород-Сіверської міської ради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4B68E7" w:rsidP="004B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2020 - </w:t>
            </w:r>
            <w:r w:rsidR="00DC718C"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(для довгострокових програм)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C718C" w:rsidRPr="000B3C0C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 Новгород-Сіверської міської об’єднаної територіальної громади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9867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тому числі: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020F25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4551,28</w:t>
            </w:r>
            <w:bookmarkStart w:id="0" w:name="_GoBack"/>
            <w:bookmarkEnd w:id="0"/>
            <w:r w:rsidR="00DC718C"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грн.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Кошти бюджету Новгород-Сіверської міської об’єднаної територіальної 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020F25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4551,28</w:t>
            </w:r>
            <w:r w:rsidR="00DC718C"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грн.</w:t>
            </w:r>
          </w:p>
        </w:tc>
      </w:tr>
      <w:tr w:rsidR="00DC718C" w:rsidRPr="00986765" w:rsidTr="00F17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986765" w:rsidRDefault="00DC718C" w:rsidP="00F1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6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986765" w:rsidRDefault="00DC718C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</w:pPr>
    </w:p>
    <w:p w:rsidR="00DC718C" w:rsidRPr="00986765" w:rsidRDefault="00DC718C" w:rsidP="00DC718C">
      <w:pPr>
        <w:keepNext/>
        <w:tabs>
          <w:tab w:val="num" w:pos="720"/>
        </w:tabs>
        <w:suppressAutoHyphens/>
        <w:spacing w:before="192" w:after="240" w:line="240" w:lineRule="auto"/>
        <w:ind w:left="720" w:hanging="360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</w:p>
    <w:p w:rsidR="00DC718C" w:rsidRPr="00986765" w:rsidRDefault="00DC718C" w:rsidP="00DC718C">
      <w:pPr>
        <w:suppressAutoHyphens/>
        <w:spacing w:before="192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DC718C" w:rsidRPr="00986765" w:rsidRDefault="00DC718C" w:rsidP="00DC718C">
      <w:pPr>
        <w:suppressAutoHyphens/>
        <w:spacing w:before="192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lastRenderedPageBreak/>
        <w:t>ІІ. Загальні положення</w:t>
      </w:r>
    </w:p>
    <w:p w:rsidR="00DC718C" w:rsidRPr="00986765" w:rsidRDefault="00DC718C" w:rsidP="00DC71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Інформаційні технології і комунікація є основними інструментами праці органів місцевого самоврядування. Реалізація даної Програми інформатизації найтіснішим образом пов’язана з організацією праці в міській раді та її структурних підрозділах.</w:t>
      </w:r>
    </w:p>
    <w:p w:rsidR="00DC718C" w:rsidRPr="00986765" w:rsidRDefault="00DC718C" w:rsidP="0098231F">
      <w:pPr>
        <w:keepNext/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Діяльність у сфері інформатизації в громаді</w:t>
      </w:r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складається з виконання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Програми </w:t>
      </w:r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інформатизації </w:t>
      </w:r>
      <w:r w:rsidR="0098231F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міської об’єднаної територіальної громади</w:t>
      </w:r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на 2020-2022 роки (далі – Програми)</w:t>
      </w:r>
      <w:r w:rsidR="0098231F" w:rsidRPr="00986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 усіх інших міських галузевих програм, які включають у себе  заходи інформатизації. (Перелік ознак заходів, що належать до сфери інформатизації, наведено </w:t>
      </w:r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Додатку 1).</w:t>
      </w:r>
    </w:p>
    <w:p w:rsidR="0098231F" w:rsidRPr="00986765" w:rsidRDefault="0098231F" w:rsidP="0098231F">
      <w:pPr>
        <w:keepNext/>
        <w:tabs>
          <w:tab w:val="num" w:pos="72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1" w:name="__RefHeading___Toc520723492"/>
    </w:p>
    <w:p w:rsidR="00DC718C" w:rsidRPr="00986765" w:rsidRDefault="0098231F" w:rsidP="00A7076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ІІІ.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Мета Програми</w:t>
      </w:r>
      <w:bookmarkEnd w:id="1"/>
    </w:p>
    <w:p w:rsidR="0098231F" w:rsidRPr="00986765" w:rsidRDefault="0098231F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DC718C" w:rsidRPr="00986765" w:rsidRDefault="00A70765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Метою П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рограми є стимулювання розвитку інфраструктури громади через підвищення ефективності її  управління завдяки інформатизації із застосуванням сучасних інформаційно-комп’ютерних технологій і технологій електронного урядування та максимальним залученням </w:t>
      </w:r>
      <w:r w:rsidR="004B68E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громадян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до цього процесу. Стимулювання розвитку громади здійснюватиметься через підвищення якості вироблення впливової інформації міською радою та її виконавчими органами і полегшення доступу до неї громади. Програма розроблена </w:t>
      </w:r>
      <w:r w:rsidR="00DC718C" w:rsidRPr="0098676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 складова частина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програми інформатизації</w:t>
      </w:r>
      <w:bookmarkStart w:id="2" w:name="__RefHeading___Toc520723493"/>
      <w:bookmarkEnd w:id="2"/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Чернігівської області на 2018- 2020 роки.</w:t>
      </w:r>
    </w:p>
    <w:p w:rsidR="00DC718C" w:rsidRPr="00986765" w:rsidRDefault="00DC718C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Централізовані заходи інформатизації, що стосуються діяльності усіх або декількох виконавчих органів міської ради входять до</w:t>
      </w:r>
      <w:r w:rsidR="0098231F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даної Програми безпосередньо (Додаток 2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).</w:t>
      </w:r>
    </w:p>
    <w:p w:rsidR="00DC718C" w:rsidRPr="00986765" w:rsidRDefault="00DC718C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Для забезпечення раціонального використання людських та фінансових ресурсів усі міські проекти і заходи з інформатизації координуються, узгоджуються і підтримуються міською радою.</w:t>
      </w:r>
    </w:p>
    <w:p w:rsidR="00011A21" w:rsidRPr="00986765" w:rsidRDefault="00011A21" w:rsidP="00011A21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</w:pPr>
      <w:bookmarkStart w:id="3" w:name="__RefHeading___Toc520723494"/>
      <w:bookmarkEnd w:id="3"/>
    </w:p>
    <w:p w:rsidR="00011A21" w:rsidRPr="00986765" w:rsidRDefault="00DC718C" w:rsidP="00011A21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2"/>
          <w:sz w:val="28"/>
          <w:szCs w:val="32"/>
          <w:u w:val="single"/>
          <w:lang w:val="uk-UA" w:eastAsia="zh-CN"/>
        </w:rPr>
      </w:pPr>
      <w:r w:rsidRPr="00986765">
        <w:rPr>
          <w:rFonts w:ascii="Times New Roman" w:eastAsia="Times New Roman" w:hAnsi="Times New Roman" w:cs="Arial"/>
          <w:bCs/>
          <w:kern w:val="2"/>
          <w:sz w:val="28"/>
          <w:szCs w:val="32"/>
          <w:u w:val="single"/>
          <w:lang w:val="uk-UA" w:eastAsia="zh-CN"/>
        </w:rPr>
        <w:t>Основні проблеми, які потребують змін та вирішення:</w:t>
      </w:r>
    </w:p>
    <w:p w:rsidR="00DC718C" w:rsidRPr="00986765" w:rsidRDefault="00011A21" w:rsidP="00011A21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</w:pPr>
      <w:r w:rsidRPr="00986765"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  <w:t xml:space="preserve">-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відсутність діючої системи електронного документообігу; нормативна та культурна перевага паперового документообігу;</w:t>
      </w:r>
    </w:p>
    <w:p w:rsidR="00DC718C" w:rsidRPr="00986765" w:rsidRDefault="00011A21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-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низький рівень власних </w:t>
      </w:r>
      <w:proofErr w:type="spellStart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онлайнових</w:t>
      </w:r>
      <w:proofErr w:type="spellEnd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Інтернет-ресурсів</w:t>
      </w:r>
      <w:proofErr w:type="spellEnd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та баз даних, інших інст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рументів електронної демократії;</w:t>
      </w:r>
    </w:p>
    <w:p w:rsidR="00DC718C" w:rsidRPr="00986765" w:rsidRDefault="00011A21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-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відсутність в Інтернеті офіційної детальної довідково-технічної інформації про громаду і його ресурси.</w:t>
      </w:r>
    </w:p>
    <w:p w:rsidR="00DC718C" w:rsidRPr="00986765" w:rsidRDefault="00011A21" w:rsidP="00011A21">
      <w:pPr>
        <w:keepNext/>
        <w:suppressAutoHyphens/>
        <w:spacing w:before="192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4" w:name="__RefHeading___Toc520723495"/>
      <w:bookmarkEnd w:id="4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IV.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Перелік завдань і заходів Програми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Завдання Програми інформатизації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 2020–2022 роки для досягнення мети складаються з заходів: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оптимізації організаційної бази для виконання Програми;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розвитку системи електронного урядування в громаді;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>забезпечення контролю виконання рішень міської ради  та її інших нормативних документів електронними засобами урядування,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оснащення міської ради засобами інформатизації.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підтримка працездатності та забезпечення функціонування існуючих інформаційних систем і засобів інформатизації.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Детальний перелік завдань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і заходів Програми наведено в Д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одатку 2 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до Програми.</w:t>
      </w:r>
    </w:p>
    <w:p w:rsidR="00DC718C" w:rsidRPr="00986765" w:rsidRDefault="00011A21" w:rsidP="00011A21">
      <w:pPr>
        <w:keepNext/>
        <w:suppressAutoHyphens/>
        <w:spacing w:before="192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5" w:name="__RefHeading___Toc520723496"/>
      <w:bookmarkEnd w:id="5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V.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Терміни та етапи виконання Програми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Виконання завдань Програми розраховано на 3 роки. Заходи реалізуються в формі щорічних етапів.</w:t>
      </w:r>
    </w:p>
    <w:p w:rsidR="00DC718C" w:rsidRPr="00986765" w:rsidRDefault="00011A21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6" w:name="__RefHeading___Toc520723497"/>
      <w:bookmarkEnd w:id="6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VI.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Ресурсне забезпечення Програми</w:t>
      </w:r>
    </w:p>
    <w:p w:rsidR="00DC718C" w:rsidRPr="00986765" w:rsidRDefault="00DC718C" w:rsidP="00011A21">
      <w:pPr>
        <w:suppressAutoHyphens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Передбачаються наступні джерела фінансування Програми:</w:t>
      </w:r>
    </w:p>
    <w:p w:rsidR="00DC718C" w:rsidRPr="00986765" w:rsidRDefault="00DC718C" w:rsidP="00011A21">
      <w:pPr>
        <w:suppressAutoHyphens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кошти бюджету</w:t>
      </w:r>
      <w:r w:rsidR="004B68E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громади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;</w:t>
      </w:r>
    </w:p>
    <w:p w:rsidR="00DC718C" w:rsidRPr="00986765" w:rsidRDefault="00DC718C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інші джерела, не заборонені чинним законодавством України.</w:t>
      </w:r>
    </w:p>
    <w:p w:rsidR="00DC718C" w:rsidRPr="00986765" w:rsidRDefault="00011A21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7" w:name="__RefHeading___Toc520723498"/>
      <w:bookmarkEnd w:id="7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VII.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Організація управління та контролю за ходом виконання Програми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Замовником програми інформатизації, її галузевих проектів і заходів 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є Новгород-Сіверська міська рада.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Керівником даної Програми є посадова особа в міській раді, відповідальна за інформатизацію і електронне урядування згідно розподілу обов‘язків. Який також відповідає за реалізацію централізованих заходів інформа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тизації (Д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одаток 2 до Програми).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Керівник Програми інформатизації здійснює: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нагляд за формуванням і виконанням Програми, 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аналіз результатів виконання окремих завдань (робіт) та оцінку їх якості.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розгляд та погодження проектів технічних завдань (робіт) Програми, заслуховує виконавців окремих етапів робіт, 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контроль стану та термінів їх виконання. 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у разі необхідності подає пропозиції щодо припинення або додаткового фінансування заходів інформатизації.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Керівництво галузевими заходами інформатизації здійснюється керівниками виконавчих органів міської ради відповідно до розподілу обов’язків. Для роботи по впровадженню заходів з інформатизації в кожному виконавчому органі має бути призначена відповідальна особа з питань інформатизації.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>Функції, пов’язані з утриманням серверної платформи і комп</w:t>
      </w:r>
      <w:r w:rsidRPr="00986765">
        <w:rPr>
          <w:rFonts w:ascii="Arial" w:eastAsia="Times New Roman" w:hAnsi="Arial" w:cs="Arial"/>
          <w:sz w:val="28"/>
          <w:szCs w:val="24"/>
          <w:lang w:val="uk-UA" w:eastAsia="zh-CN"/>
        </w:rPr>
        <w:t>’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ютерних мереж, функції з технічного обслуговування комп</w:t>
      </w:r>
      <w:r w:rsidRPr="00986765">
        <w:rPr>
          <w:rFonts w:ascii="Arial" w:eastAsia="Times New Roman" w:hAnsi="Arial" w:cs="Arial"/>
          <w:sz w:val="28"/>
          <w:szCs w:val="24"/>
          <w:lang w:val="uk-UA" w:eastAsia="zh-CN"/>
        </w:rPr>
        <w:t>’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ютерної оргтехніки, надання технічних послуг із забезпечення роботи систем інформаційно-аналітичного забезпечення органів місцевого самоврядування для виконання завдань Програми, мають бути впорядковані та передані для здійснення створеному відділу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інформаційних технологій міської ради.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Функції з планування та впровадження міжвідомчих інформаційних ресурсів (електронний документообіг виконавчих органів міської ради, </w:t>
      </w:r>
      <w:proofErr w:type="spellStart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геоінформаційні</w:t>
      </w:r>
      <w:proofErr w:type="spellEnd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кадастрові системи колективного використання, електронні системи інвентаризацій та обліку, інші), мають бути покладені на відділ інформаційних технологій міської ради.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Виконавці галузевих заходів інформатизації міської ради щокварталу, </w:t>
      </w:r>
      <w:r w:rsidR="00011A21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до 10 числа місяця, що настає за звітним, надають інформацію про їх виконання до міської ради.</w:t>
      </w:r>
    </w:p>
    <w:p w:rsidR="00DC718C" w:rsidRPr="00986765" w:rsidRDefault="00011A21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8" w:name="__RefHeading___Toc520723499"/>
      <w:bookmarkEnd w:id="8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VIII. </w:t>
      </w:r>
      <w:r w:rsidR="00DC718C"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Очікувані кінцеві результати виконання Програми</w:t>
      </w:r>
    </w:p>
    <w:p w:rsidR="00DC718C" w:rsidRPr="00986765" w:rsidRDefault="00DC718C" w:rsidP="00011A21">
      <w:pPr>
        <w:suppressAutoHyphens/>
        <w:spacing w:before="192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Найважливішими наслідками інформатизації, є успіх соціально-економічного розвитку громади, та  отримання громадянами рівного якісного доступу до потрібної їм інформації, яка знаходиться у володінні міської ради, сприяння становленню інформаційного суспільства. 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Результатом виконання загальних завдань і заходів Програми буде створення:</w:t>
      </w:r>
    </w:p>
    <w:p w:rsidR="00DC718C" w:rsidRPr="00986765" w:rsidRDefault="00DC718C" w:rsidP="009867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єдиної системи реєстрації документів та електронного документообігу міської ради і її виконавчих органів;</w:t>
      </w:r>
    </w:p>
    <w:p w:rsidR="00DC718C" w:rsidRPr="00986765" w:rsidRDefault="00DC718C" w:rsidP="009867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централізованої електронної системи зберігання нормативних актів міської ради з механізмом управління їх достовірністю та допоміжними інструментами аналізу і пошуку;</w:t>
      </w:r>
    </w:p>
    <w:p w:rsidR="00DC718C" w:rsidRPr="00986765" w:rsidRDefault="00DC718C" w:rsidP="009867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централізованої системи управління галузевими програмами діяльності міської ради, забезпечення можливості їх контролю через WEB-інтерфейс за різними критеріями вибірки;</w:t>
      </w:r>
    </w:p>
    <w:p w:rsidR="00DC718C" w:rsidRPr="00986765" w:rsidRDefault="00986765" w:rsidP="009867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- </w:t>
      </w:r>
      <w:proofErr w:type="spellStart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інтернет-частини</w:t>
      </w:r>
      <w:proofErr w:type="spellEnd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(</w:t>
      </w:r>
      <w:proofErr w:type="spellStart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геоінформаційний</w:t>
      </w:r>
      <w:proofErr w:type="spellEnd"/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портал) міського кадастру (міського географічного банку даних) з забезпеченням колективного використання та управління його даними від різних виконавчих органів міської ради і висвітлення в Інтернеті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.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Виконання завдань і заходів Програми дозволить інтегрувати</w:t>
      </w:r>
      <w:r w:rsidR="00986765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громаду</w:t>
      </w:r>
      <w:r w:rsidR="00986765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у світовий інформаційний простір, брати участь у процесах європейського співробітництва, забезпечити сталий розвиток міста.</w:t>
      </w:r>
    </w:p>
    <w:p w:rsidR="00DC718C" w:rsidRPr="00986765" w:rsidRDefault="00DC718C" w:rsidP="00011A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986765" w:rsidRPr="00986765" w:rsidRDefault="00986765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6765" w:rsidRPr="00986765" w:rsidRDefault="00986765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718C" w:rsidRPr="00986765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="00986765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 w:rsidR="00986765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 Лакоза</w:t>
      </w:r>
    </w:p>
    <w:p w:rsidR="00DC718C" w:rsidRPr="00986765" w:rsidRDefault="00DC718C" w:rsidP="00DC718C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DC718C" w:rsidRPr="00986765" w:rsidRDefault="00986765" w:rsidP="00986765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 xml:space="preserve">                                                                                       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Додаток 1</w:t>
      </w:r>
    </w:p>
    <w:p w:rsidR="00986765" w:rsidRDefault="00986765" w:rsidP="00986765">
      <w:pPr>
        <w:suppressAutoHyphens/>
        <w:spacing w:after="0" w:line="240" w:lineRule="auto"/>
        <w:rPr>
          <w:rFonts w:ascii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                                                                             </w:t>
      </w:r>
      <w:r w:rsidR="00DC718C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hAnsi="Times New Roman" w:cs="Times New Roman"/>
          <w:sz w:val="28"/>
          <w:lang w:val="uk-UA" w:eastAsia="zh-CN"/>
        </w:rPr>
        <w:t xml:space="preserve">інформатизації </w:t>
      </w:r>
    </w:p>
    <w:p w:rsidR="00986765" w:rsidRDefault="00986765" w:rsidP="0098676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986765" w:rsidRPr="00986765" w:rsidRDefault="00986765" w:rsidP="0098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>об’єднаної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 на 2020-2022 роки</w:t>
      </w:r>
    </w:p>
    <w:p w:rsidR="00DC718C" w:rsidRPr="00986765" w:rsidRDefault="00986765" w:rsidP="0098676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( розділ ІІ )</w:t>
      </w:r>
    </w:p>
    <w:p w:rsidR="00DC718C" w:rsidRPr="00986765" w:rsidRDefault="00DC718C" w:rsidP="00A94687">
      <w:pPr>
        <w:keepNext/>
        <w:suppressAutoHyphens/>
        <w:spacing w:before="48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9" w:name="__RefHeading___Toc520723500"/>
      <w:bookmarkEnd w:id="9"/>
      <w:r w:rsidRPr="00986765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Перелік ознак заходів, що належать до сфери інформатизації</w:t>
      </w:r>
    </w:p>
    <w:p w:rsidR="00DC718C" w:rsidRPr="00986765" w:rsidRDefault="00DC718C" w:rsidP="00A94687">
      <w:pPr>
        <w:suppressAutoHyphens/>
        <w:spacing w:before="80" w:after="10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До проектів (робіт) з інформатизації належать: </w:t>
      </w:r>
    </w:p>
    <w:p w:rsidR="00DC718C" w:rsidRPr="00986765" w:rsidRDefault="00DC718C" w:rsidP="00A94687">
      <w:pPr>
        <w:pStyle w:val="a3"/>
        <w:numPr>
          <w:ilvl w:val="1"/>
          <w:numId w:val="1"/>
        </w:numPr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створення інформаційних, інформаційно-пошукових, інформаційно-довідкових,інформаційно-аналітичних,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гео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інформаційних</w:t>
      </w:r>
      <w:proofErr w:type="spellEnd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, автоматизованих інформаційних систем;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інформаційно-аналітичних центрів та програмно-технічних (програмно-апаратних) комплексів;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і розвиток телекомунікаційних систем, у тому числі корпоративних та локальних обчислювальних мереж, а також засобів інформатизації, призначених для функціонування телекомунікаційних систем;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сховищ даних, </w:t>
      </w:r>
      <w:proofErr w:type="spellStart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Веб-порталів</w:t>
      </w:r>
      <w:proofErr w:type="spellEnd"/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, у тому числі засобів доступу до них, інформаційних ресурсів, у тому числі баз даних, кадастрів, реєстрів усіх рівнів;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впровадження електронного документообігу, програмних та технічних засобів для забезпечення його функціонування;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програмно-технічних засобів для забезпечення захисту інформації; </w:t>
      </w:r>
    </w:p>
    <w:p w:rsidR="00DC718C" w:rsidRPr="00986765" w:rsidRDefault="00DC718C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проведення моніторингу, якщо в результаті формуються відповідні інформаційні ресурси; </w:t>
      </w:r>
    </w:p>
    <w:p w:rsidR="00DC718C" w:rsidRPr="00986765" w:rsidRDefault="00DC718C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розвиток мережі Інтернет: розробка, створення та впровадження інформаційних систем,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користувачами; </w:t>
      </w:r>
    </w:p>
    <w:p w:rsidR="00DC718C" w:rsidRPr="00986765" w:rsidRDefault="00DC718C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створення, розвиток, упровадження стандартів у сфері інформаційних технологій, у тому числі адаптація до міжнародних стандартів; </w:t>
      </w:r>
    </w:p>
    <w:p w:rsidR="00DC718C" w:rsidRPr="00986765" w:rsidRDefault="00DC718C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здійснення сертифікації програмного та технічного забезпечення робіт з інформатизації; </w:t>
      </w:r>
    </w:p>
    <w:p w:rsidR="00DC718C" w:rsidRPr="00986765" w:rsidRDefault="00DC718C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розробка концепцій, розробка та реалізація галузевих та регіональних програм інформатизації, програм інформатизації органів місцевого самоврядування, нормативно-правових актів, спрямованих н</w:t>
      </w:r>
      <w:r w:rsidR="00A94687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а розвиток сфери інформатизації.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DC718C" w:rsidRDefault="00DC718C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sectPr w:rsidR="00681FAB" w:rsidSect="003E77F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81FAB" w:rsidRPr="00986765" w:rsidRDefault="00681FAB" w:rsidP="00643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           Додаток 2</w:t>
      </w:r>
    </w:p>
    <w:p w:rsidR="00643F3A" w:rsidRDefault="00681FAB" w:rsidP="00643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                                                                                                               </w:t>
      </w:r>
      <w:r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986765">
        <w:rPr>
          <w:rFonts w:ascii="Times New Roman" w:hAnsi="Times New Roman" w:cs="Times New Roman"/>
          <w:sz w:val="28"/>
          <w:lang w:val="uk-UA" w:eastAsia="zh-CN"/>
        </w:rPr>
        <w:t xml:space="preserve">інформатизації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6765">
        <w:rPr>
          <w:rFonts w:ascii="Times New Roman" w:hAnsi="Times New Roman" w:cs="Times New Roman"/>
          <w:sz w:val="28"/>
          <w:szCs w:val="28"/>
          <w:lang w:val="uk-UA"/>
        </w:rPr>
        <w:t>об’єднаної</w:t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643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</w:t>
      </w:r>
    </w:p>
    <w:p w:rsidR="00681FAB" w:rsidRPr="00643F3A" w:rsidRDefault="00643F3A" w:rsidP="00643F3A">
      <w:pPr>
        <w:suppressAutoHyphens/>
        <w:spacing w:after="0" w:line="240" w:lineRule="auto"/>
        <w:rPr>
          <w:rFonts w:ascii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</w:t>
      </w:r>
      <w:r w:rsidR="00681FAB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2020-2022 роки</w:t>
      </w:r>
    </w:p>
    <w:p w:rsidR="00681FAB" w:rsidRPr="00986765" w:rsidRDefault="00681FAB" w:rsidP="00643F3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643F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розділ ІІІ, IV,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81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54B9E" w:rsidRPr="00681FAB" w:rsidRDefault="00681FAB" w:rsidP="00681FA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t>Кошторис централізованих заходів</w:t>
      </w: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br/>
        <w:t xml:space="preserve">щодо виконання програми інформатизації </w:t>
      </w:r>
      <w:r w:rsidRPr="00732150">
        <w:rPr>
          <w:rFonts w:ascii="Times New Roman" w:hAnsi="Times New Roman" w:cs="Times New Roman"/>
          <w:b/>
          <w:sz w:val="28"/>
          <w:lang w:val="uk-UA"/>
        </w:rPr>
        <w:t xml:space="preserve">на території </w:t>
      </w:r>
      <w:r w:rsidRPr="00732150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об’єднаної територіальної громади</w:t>
      </w:r>
    </w:p>
    <w:tbl>
      <w:tblPr>
        <w:tblW w:w="15388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706"/>
        <w:gridCol w:w="3119"/>
        <w:gridCol w:w="2551"/>
        <w:gridCol w:w="993"/>
        <w:gridCol w:w="912"/>
        <w:gridCol w:w="992"/>
        <w:gridCol w:w="992"/>
        <w:gridCol w:w="992"/>
        <w:gridCol w:w="12"/>
        <w:gridCol w:w="3107"/>
        <w:gridCol w:w="12"/>
      </w:tblGrid>
      <w:tr w:rsidR="00681FAB" w:rsidRPr="00643F3A" w:rsidTr="00DF0DE5">
        <w:trPr>
          <w:cantSplit/>
          <w:trHeight w:val="20"/>
          <w:tblHeader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Назва напряму діяльності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Зміст заходів програми 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 виконання завдання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Відповідальні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за виконання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Строки виконання, роки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Орієнтовні обсяги фінансування за роками виконання, тис. грн.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Очікуваний результат від виконання заходу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  <w:tblHeader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усього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2020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2022 рік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  <w:tr w:rsidR="00681FAB" w:rsidRPr="000B3C0C" w:rsidTr="00DF0DE5">
        <w:trPr>
          <w:gridAfter w:val="1"/>
          <w:wAfter w:w="12" w:type="dxa"/>
          <w:trHeight w:val="20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1.Оптимізація організаційної бази для впровадження програми інформатизації та електронного урядування, організаційне та методичне забезпечення програми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1.1.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рада, відділ інформаційних технологій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Оптимізація та спрямування діяльності міської ради в галузі електронного урядування та інформатизації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1.2. Призначення відповідальних осіб з технічних питань інформатизації та електронного урядування по виконавчих органах,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 разом посадовою особою міської ради,відповідальною за інформатизацію і електронне урядування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Виконання даної та інших програм розвитку міста шляхом інформатизації та електронного урядування 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Аналіз програм діяльності виконавчих органів міської ради по їх належності до сфери інформатизації та електронного урядування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 разом з посадовою особою міської ради,відповідальною за інформатизацію і електронне урядування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Оцінка поточного становища по міській раді та її діяльності в галузі інформатизації та електронного урядування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1.4. Розроблення нормативно-правових документів щодо організації виконання завдань міської програми інформатизації та електронного урядування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2020-2021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Удосконалення нормативно-правової бази інформатизації та електронного урядування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2. Розвиток систем електронного урядування в місті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2.1 Створення серверної платформи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Розвиток централізованої програмно-апаратної платформи для розміщення корпоративних електронних сервісів міської ради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2.2. Розробка та впровадження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сайту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документів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міської ради з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достовірною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інформацією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Розробка та впровадження централізованої системи підготовки та контролю виконання міських галузевих програм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 xml:space="preserve">Міська рада разом з галузевими виконавчими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органами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2020 –2022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150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Впровадження</w:t>
            </w:r>
            <w:r w:rsidR="0099410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інформаційної системи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міської ради з механізмами: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 виключення недіючих актів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 модернізації документів , в які вносяться зміни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забезпечення відповідності документів на паперовому носії з документами на сайті.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4. забезпечення дієвої системи контекстного пошуку по нормативних актах.</w:t>
            </w:r>
          </w:p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5. забезпечення ведення переліку міських галузевих програм та показу ступеню їх забезпеченості коштами та іншими важелями.</w:t>
            </w:r>
          </w:p>
        </w:tc>
      </w:tr>
      <w:tr w:rsidR="00681FAB" w:rsidRPr="000B3C0C" w:rsidTr="00DF0DE5">
        <w:trPr>
          <w:gridAfter w:val="1"/>
          <w:wAfter w:w="12" w:type="dxa"/>
          <w:trHeight w:val="20"/>
        </w:trPr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2.3.Впровадження системи мультимедійного забезпечення засідань міської ради, виконавчого комітету, депутатських комісій, робочих груп, семінарів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Мультимедійне обладнання залів засідань міської ради, виконавчого комітету, депутатських комісій, робочих груп, семінарів</w:t>
            </w:r>
          </w:p>
        </w:tc>
      </w:tr>
      <w:tr w:rsidR="00681FAB" w:rsidRPr="000B3C0C" w:rsidTr="00DF0DE5">
        <w:trPr>
          <w:gridAfter w:val="1"/>
          <w:wAfter w:w="12" w:type="dxa"/>
          <w:trHeight w:val="15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2.4. Розвиток (модульний)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веб-порталу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, технічна підтримка 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веб-сайту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Розвиток якісного інформаційного забезпечення міської громади та органів місцевого самоврядування через мережу Інтернет. Забезпечення впорядкування інформації органів місцевого самоврядування та швидкого інформування нею споживачів засобами Інтернет. </w:t>
            </w:r>
          </w:p>
        </w:tc>
      </w:tr>
      <w:tr w:rsidR="00681FAB" w:rsidRPr="000B3C0C" w:rsidTr="00DF0DE5">
        <w:trPr>
          <w:gridAfter w:val="1"/>
          <w:wAfter w:w="12" w:type="dxa"/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3.Оснащення міської ради засобами інформатизації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761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3.1. Придбання засобів інформатизації для </w:t>
            </w:r>
            <w:r w:rsidRPr="0064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 xml:space="preserve">міської ради та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її виконавчих органів та </w:t>
            </w:r>
            <w:r w:rsidR="00761D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ї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 технічна підтримка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3351280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1109580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1067600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1174100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Оснащення сучасною комп'ютерною та офісною технікою міської ради та її виконавчих органів</w:t>
            </w:r>
          </w:p>
        </w:tc>
      </w:tr>
      <w:tr w:rsidR="00681FAB" w:rsidRPr="00643F3A" w:rsidTr="00DF0DE5">
        <w:trPr>
          <w:gridAfter w:val="1"/>
          <w:wAfter w:w="12" w:type="dxa"/>
          <w:trHeight w:val="20"/>
        </w:trPr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Всього по програмі: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4551280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1359580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1567600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1624100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</w:tbl>
    <w:p w:rsidR="00643F3A" w:rsidRDefault="00643F3A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5A6BC3" w:rsidRPr="005A6BC3" w:rsidRDefault="005A6BC3" w:rsidP="005A6BC3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Ресурсне  забезпечення </w:t>
      </w:r>
      <w:r w:rsidRPr="005A6BC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Програми  </w:t>
      </w: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інформатизації в розрізі головних розпорядників бюджетних коштів  на території Новгород-Сіверської міської об’єднаної територіальної громади на 2020 – 2022 роки</w:t>
      </w:r>
    </w:p>
    <w:p w:rsidR="005A6BC3" w:rsidRPr="005A6BC3" w:rsidRDefault="005A6BC3" w:rsidP="005A6BC3">
      <w:pPr>
        <w:tabs>
          <w:tab w:val="left" w:pos="6480"/>
          <w:tab w:val="left" w:pos="6690"/>
        </w:tabs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5A6BC3" w:rsidRPr="005A6BC3" w:rsidRDefault="005A6BC3" w:rsidP="005A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3"/>
        <w:gridCol w:w="1992"/>
        <w:gridCol w:w="1843"/>
        <w:gridCol w:w="2126"/>
        <w:gridCol w:w="2062"/>
      </w:tblGrid>
      <w:tr w:rsidR="005A6BC3" w:rsidRPr="000B3C0C" w:rsidTr="00635D7C">
        <w:tc>
          <w:tcPr>
            <w:tcW w:w="6763" w:type="dxa"/>
            <w:vMerge w:val="restart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8023" w:type="dxa"/>
            <w:gridSpan w:val="4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 програми  за  рахунок  бюджету  Новгород-Сіверської міської об’єднаної територіальної громади, грн.</w:t>
            </w:r>
          </w:p>
        </w:tc>
      </w:tr>
      <w:tr w:rsidR="005A6BC3" w:rsidRPr="005A6BC3" w:rsidTr="00635D7C">
        <w:tc>
          <w:tcPr>
            <w:tcW w:w="6763" w:type="dxa"/>
            <w:vMerge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2022р.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Всього 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550000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1350000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на Фінансового управління діяльності Новгород-Сіверської міської ради на  2020 – 2022 роки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26500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28000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79500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 Управління соціального захисту населення, сім’ї та праці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75000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культури, туризму та з питань діяльності  засобів масової інформації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64580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16100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16100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96780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освіти, молоді та спорту 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950000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950000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2950000</w:t>
            </w:r>
          </w:p>
        </w:tc>
      </w:tr>
      <w:tr w:rsidR="005A6BC3" w:rsidRPr="005A6BC3" w:rsidTr="00635D7C">
        <w:tc>
          <w:tcPr>
            <w:tcW w:w="676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99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1359580</w:t>
            </w:r>
          </w:p>
        </w:tc>
        <w:tc>
          <w:tcPr>
            <w:tcW w:w="1843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1567600</w:t>
            </w:r>
          </w:p>
        </w:tc>
        <w:tc>
          <w:tcPr>
            <w:tcW w:w="2126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1624100</w:t>
            </w:r>
          </w:p>
        </w:tc>
        <w:tc>
          <w:tcPr>
            <w:tcW w:w="2062" w:type="dxa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4551280</w:t>
            </w:r>
          </w:p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5A6BC3" w:rsidRPr="005A6BC3" w:rsidRDefault="005A6BC3" w:rsidP="005A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BC3" w:rsidRPr="00643F3A" w:rsidRDefault="005A6BC3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sectPr w:rsidR="005A6BC3" w:rsidRPr="00643F3A" w:rsidSect="00054B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15" w:rsidRDefault="00316215" w:rsidP="00643F3A">
      <w:pPr>
        <w:spacing w:after="0" w:line="240" w:lineRule="auto"/>
      </w:pPr>
      <w:r>
        <w:separator/>
      </w:r>
    </w:p>
  </w:endnote>
  <w:endnote w:type="continuationSeparator" w:id="0">
    <w:p w:rsidR="00316215" w:rsidRDefault="00316215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15" w:rsidRDefault="00316215" w:rsidP="00643F3A">
      <w:pPr>
        <w:spacing w:after="0" w:line="240" w:lineRule="auto"/>
      </w:pPr>
      <w:r>
        <w:separator/>
      </w:r>
    </w:p>
  </w:footnote>
  <w:footnote w:type="continuationSeparator" w:id="0">
    <w:p w:rsidR="00316215" w:rsidRDefault="00316215" w:rsidP="0064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8C"/>
    <w:rsid w:val="00011A21"/>
    <w:rsid w:val="00011E01"/>
    <w:rsid w:val="00020F25"/>
    <w:rsid w:val="00054B9E"/>
    <w:rsid w:val="000A1723"/>
    <w:rsid w:val="000B3C0C"/>
    <w:rsid w:val="000E0973"/>
    <w:rsid w:val="001B5695"/>
    <w:rsid w:val="001C6129"/>
    <w:rsid w:val="00316215"/>
    <w:rsid w:val="0039534E"/>
    <w:rsid w:val="003B3675"/>
    <w:rsid w:val="003E77F8"/>
    <w:rsid w:val="004674D0"/>
    <w:rsid w:val="004B68E7"/>
    <w:rsid w:val="005A540B"/>
    <w:rsid w:val="005A6BC3"/>
    <w:rsid w:val="00643F3A"/>
    <w:rsid w:val="00647AFA"/>
    <w:rsid w:val="00681FAB"/>
    <w:rsid w:val="00761DC2"/>
    <w:rsid w:val="007E659F"/>
    <w:rsid w:val="00896881"/>
    <w:rsid w:val="009274F9"/>
    <w:rsid w:val="0098231F"/>
    <w:rsid w:val="00986765"/>
    <w:rsid w:val="00994106"/>
    <w:rsid w:val="00A70765"/>
    <w:rsid w:val="00A94687"/>
    <w:rsid w:val="00B10D94"/>
    <w:rsid w:val="00B672B8"/>
    <w:rsid w:val="00B74436"/>
    <w:rsid w:val="00D05760"/>
    <w:rsid w:val="00DC718C"/>
    <w:rsid w:val="00DF0DE5"/>
    <w:rsid w:val="00F36060"/>
    <w:rsid w:val="00F707FD"/>
    <w:rsid w:val="00FB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10481</Words>
  <Characters>5975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16</cp:revision>
  <cp:lastPrinted>2019-12-03T13:08:00Z</cp:lastPrinted>
  <dcterms:created xsi:type="dcterms:W3CDTF">2019-11-30T19:13:00Z</dcterms:created>
  <dcterms:modified xsi:type="dcterms:W3CDTF">2019-12-06T13:22:00Z</dcterms:modified>
</cp:coreProperties>
</file>